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C0EC3">
      <w:pPr>
        <w:pStyle w:val="80"/>
        <w:keepNext/>
        <w:keepLines/>
        <w:pageBreakBefore w:val="0"/>
        <w:tabs>
          <w:tab w:val="right" w:pos="9639"/>
        </w:tabs>
        <w:kinsoku/>
        <w:wordWrap/>
        <w:topLinePunct w:val="0"/>
        <w:bidi w:val="0"/>
        <w:spacing w:after="0"/>
        <w:rPr>
          <w:rFonts w:hint="default" w:cs="Arial"/>
          <w:b/>
          <w:bCs/>
          <w:sz w:val="24"/>
          <w:lang w:val="en-US" w:eastAsia="zh-CN"/>
        </w:rPr>
      </w:pPr>
      <w:bookmarkStart w:id="0" w:name="_Hlt450066087"/>
      <w:bookmarkEnd w:id="0"/>
      <w:bookmarkStart w:id="1" w:name="_Hlt448930105"/>
      <w:bookmarkEnd w:id="1"/>
      <w:bookmarkStart w:id="2" w:name="_Hlt450066085"/>
      <w:bookmarkEnd w:id="2"/>
      <w:bookmarkStart w:id="3" w:name="_Hlt450051172"/>
      <w:bookmarkEnd w:id="3"/>
      <w:bookmarkStart w:id="4" w:name="_Hlt449016246"/>
      <w:bookmarkEnd w:id="4"/>
      <w:bookmarkStart w:id="5" w:name="_Hlt450039480"/>
      <w:bookmarkEnd w:id="5"/>
      <w:bookmarkStart w:id="6" w:name="OLE_LINK15"/>
      <w:r>
        <w:rPr>
          <w:rFonts w:cs="Arial"/>
          <w:b/>
          <w:bCs/>
          <w:sz w:val="24"/>
        </w:rPr>
        <w:t>3GPP TSG RAN Meeting #</w:t>
      </w:r>
      <w:r>
        <w:rPr>
          <w:rFonts w:cs="Arial"/>
          <w:b/>
          <w:bCs/>
          <w:sz w:val="24"/>
          <w:lang w:eastAsia="zh-TW"/>
        </w:rPr>
        <w:t>10</w:t>
      </w:r>
      <w:r>
        <w:rPr>
          <w:rFonts w:hint="eastAsia" w:cs="Arial"/>
          <w:b/>
          <w:bCs/>
          <w:sz w:val="24"/>
          <w:lang w:val="en-US" w:eastAsia="zh-CN"/>
        </w:rPr>
        <w:t>7</w:t>
      </w:r>
      <w:r>
        <w:rPr>
          <w:b/>
          <w:sz w:val="24"/>
        </w:rPr>
        <w:tab/>
      </w:r>
      <w:bookmarkStart w:id="9" w:name="_GoBack"/>
      <w:r>
        <w:rPr>
          <w:rFonts w:hint="eastAsia" w:cs="Arial"/>
          <w:b/>
          <w:bCs/>
          <w:sz w:val="24"/>
        </w:rPr>
        <w:t>RP-250437</w:t>
      </w:r>
      <w:bookmarkEnd w:id="6"/>
    </w:p>
    <w:bookmarkEnd w:id="9"/>
    <w:p w14:paraId="44BD0422">
      <w:pPr>
        <w:keepLines/>
        <w:tabs>
          <w:tab w:val="left" w:pos="567"/>
        </w:tabs>
        <w:rPr>
          <w:rFonts w:ascii="Arial" w:hAnsi="Arial" w:eastAsia="宋体" w:cs="Arial"/>
          <w:b/>
          <w:bCs/>
          <w:sz w:val="24"/>
          <w:lang w:val="en-GB" w:eastAsia="en-US" w:bidi="ar-SA"/>
        </w:rPr>
      </w:pPr>
      <w:r>
        <w:rPr>
          <w:rFonts w:ascii="Arial" w:hAnsi="Arial" w:eastAsia="宋体" w:cs="Arial"/>
          <w:b/>
          <w:bCs/>
          <w:sz w:val="24"/>
          <w:lang w:val="en-GB" w:eastAsia="en-US" w:bidi="ar-SA"/>
        </w:rPr>
        <w:t>Incheon, Korea, March 12-14, 2025</w:t>
      </w:r>
    </w:p>
    <w:p w14:paraId="7C80378F">
      <w:pPr>
        <w:pStyle w:val="33"/>
        <w:tabs>
          <w:tab w:val="right" w:pos="9639"/>
        </w:tabs>
        <w:rPr>
          <w:rFonts w:cs="Arial"/>
          <w:bCs/>
          <w:color w:val="4472C4"/>
          <w:sz w:val="22"/>
        </w:rPr>
      </w:pPr>
    </w:p>
    <w:p w14:paraId="111C3DD9"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Title: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Presentation of Report to TSG: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 xml:space="preserve"> 38.908 Version 2.0.0</w:t>
      </w:r>
      <w:r>
        <w:rPr>
          <w:rFonts w:ascii="Arial" w:hAnsi="Arial" w:cs="Arial"/>
          <w:b/>
          <w:color w:val="auto"/>
        </w:rPr>
        <w:br w:type="textWrapping"/>
      </w:r>
    </w:p>
    <w:p w14:paraId="23EAF0BF">
      <w:pPr>
        <w:spacing w:after="60"/>
        <w:ind w:left="1985" w:hanging="1985"/>
        <w:rPr>
          <w:rFonts w:hint="default" w:ascii="Arial" w:hAnsi="Arial" w:eastAsia="宋体" w:cs="Arial"/>
          <w:b/>
          <w:color w:val="auto"/>
          <w:lang w:val="en-US" w:eastAsia="zh-CN"/>
        </w:rPr>
      </w:pPr>
      <w:r>
        <w:rPr>
          <w:rFonts w:ascii="Arial" w:hAnsi="Arial" w:cs="Arial"/>
          <w:b/>
          <w:color w:val="auto"/>
        </w:rPr>
        <w:t>Source: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ZTE Corporation</w:t>
      </w:r>
    </w:p>
    <w:p w14:paraId="65CA4C47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7E7B6C3D">
      <w:pPr>
        <w:spacing w:after="60"/>
        <w:ind w:left="1985" w:hanging="1985"/>
        <w:rPr>
          <w:rFonts w:hint="default" w:ascii="Arial" w:hAnsi="Arial" w:eastAsia="宋体" w:cs="Arial"/>
          <w:b/>
          <w:color w:val="auto"/>
          <w:lang w:val="en-US" w:eastAsia="zh-CN"/>
        </w:rPr>
      </w:pPr>
      <w:r>
        <w:rPr>
          <w:rFonts w:ascii="Arial" w:hAnsi="Arial" w:cs="Arial"/>
          <w:b/>
          <w:color w:val="auto"/>
        </w:rPr>
        <w:t>Agenda item: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9.3.4.2</w:t>
      </w:r>
    </w:p>
    <w:p w14:paraId="7CB61888"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Release: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Rel-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19</w:t>
      </w:r>
    </w:p>
    <w:p w14:paraId="57B6EE85"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Work Item:</w:t>
      </w:r>
      <w:r>
        <w:rPr>
          <w:rFonts w:ascii="Arial" w:hAnsi="Arial" w:cs="Arial"/>
          <w:b/>
          <w:color w:val="auto"/>
        </w:rPr>
        <w:tab/>
      </w:r>
      <w:bookmarkStart w:id="7" w:name="OLE_LINK215"/>
      <w:bookmarkStart w:id="8" w:name="OLE_LINK214"/>
      <w:r>
        <w:rPr>
          <w:rFonts w:hint="eastAsia" w:ascii="Arial" w:hAnsi="Arial" w:eastAsia="宋体" w:cs="Arial"/>
          <w:b/>
          <w:color w:val="auto"/>
          <w:lang w:val="en-US" w:eastAsia="zh-CN"/>
        </w:rPr>
        <w:t>NR_BS_RF_req_evo</w:t>
      </w:r>
      <w:bookmarkEnd w:id="7"/>
      <w:bookmarkEnd w:id="8"/>
    </w:p>
    <w:p w14:paraId="19E8F404">
      <w:pPr>
        <w:spacing w:after="60"/>
        <w:ind w:left="1985" w:hanging="1985"/>
        <w:rPr>
          <w:rFonts w:hint="default" w:ascii="Arial" w:hAnsi="Arial" w:eastAsia="宋体" w:cs="Arial"/>
          <w:b/>
          <w:color w:val="auto"/>
          <w:lang w:val="en-US" w:eastAsia="zh-CN"/>
        </w:rPr>
      </w:pPr>
      <w:r>
        <w:rPr>
          <w:rFonts w:ascii="Arial" w:hAnsi="Arial" w:cs="Arial"/>
          <w:b/>
          <w:color w:val="auto"/>
        </w:rPr>
        <w:t>Responsible WG: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RAN4</w:t>
      </w:r>
    </w:p>
    <w:p w14:paraId="3CD6949D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0F6C3664">
      <w:pPr>
        <w:spacing w:after="60"/>
        <w:ind w:left="1985" w:hanging="1985"/>
        <w:rPr>
          <w:rFonts w:hint="default" w:ascii="Arial" w:hAnsi="Arial" w:eastAsia="宋体" w:cs="Arial"/>
          <w:bCs/>
          <w:color w:val="auto"/>
          <w:lang w:val="en-US" w:eastAsia="zh-CN"/>
        </w:rPr>
      </w:pPr>
      <w:r>
        <w:rPr>
          <w:rFonts w:ascii="Arial" w:hAnsi="Arial" w:cs="Arial"/>
          <w:b/>
          <w:color w:val="auto"/>
        </w:rPr>
        <w:t>Document for: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Agreement</w:t>
      </w:r>
    </w:p>
    <w:p w14:paraId="6975C32B">
      <w:pPr>
        <w:tabs>
          <w:tab w:val="left" w:pos="3119"/>
        </w:tabs>
        <w:rPr>
          <w:b/>
          <w:sz w:val="24"/>
        </w:rPr>
      </w:pPr>
    </w:p>
    <w:p w14:paraId="07A11166">
      <w:pPr>
        <w:pBdr>
          <w:top w:val="single" w:color="auto" w:sz="4" w:space="1"/>
        </w:pBdr>
        <w:tabs>
          <w:tab w:val="left" w:pos="3119"/>
        </w:tabs>
        <w:rPr>
          <w:rFonts w:hint="eastAsia" w:ascii="Arial" w:hAnsi="Arial" w:cs="Arial"/>
          <w:sz w:val="20"/>
          <w:szCs w:val="22"/>
          <w:lang w:val="en-US" w:eastAsia="zh-CN"/>
        </w:rPr>
      </w:pPr>
      <w:r>
        <w:rPr>
          <w:b/>
          <w:sz w:val="24"/>
        </w:rPr>
        <w:t>Abstract of document:</w:t>
      </w:r>
    </w:p>
    <w:p w14:paraId="54C0111A">
      <w:pPr>
        <w:rPr>
          <w:rFonts w:hint="eastAsia" w:ascii="Arial" w:hAnsi="Arial" w:eastAsia="Times New Roman" w:cs="Arial"/>
          <w:sz w:val="20"/>
          <w:szCs w:val="22"/>
          <w:lang w:val="en-US" w:eastAsia="zh-CN"/>
        </w:rPr>
      </w:pPr>
      <w:r>
        <w:rPr>
          <w:rFonts w:ascii="Arial" w:hAnsi="Arial" w:cs="Arial"/>
          <w:sz w:val="20"/>
          <w:szCs w:val="22"/>
        </w:rPr>
        <w:t>The present document</w:t>
      </w:r>
      <w:r>
        <w:rPr>
          <w:rFonts w:hint="eastAsia" w:ascii="Arial" w:hAnsi="Arial" w:eastAsia="宋体" w:cs="Arial"/>
          <w:sz w:val="20"/>
          <w:szCs w:val="22"/>
          <w:lang w:val="en-US" w:eastAsia="zh-CN"/>
        </w:rPr>
        <w:t xml:space="preserve"> summarizes</w:t>
      </w:r>
      <w:r>
        <w:rPr>
          <w:rFonts w:hint="eastAsia" w:ascii="Arial" w:hAnsi="Arial" w:cs="Arial"/>
          <w:sz w:val="20"/>
          <w:szCs w:val="22"/>
          <w:lang w:val="en-US" w:eastAsia="zh-CN"/>
        </w:rPr>
        <w:t xml:space="preserve"> the background information from WRC-23 perspective and the corresponding RAN4 study on new BS expected EIRP (EEIRP) mask requirement for band n104. </w:t>
      </w:r>
      <w:r>
        <w:rPr>
          <w:rFonts w:hint="eastAsia" w:ascii="Arial" w:hAnsi="Arial" w:eastAsia="Times New Roman" w:cs="Arial"/>
          <w:sz w:val="20"/>
          <w:szCs w:val="22"/>
          <w:lang w:val="en-US" w:eastAsia="zh-CN"/>
        </w:rPr>
        <w:t>Since the</w:t>
      </w:r>
      <w:r>
        <w:rPr>
          <w:rFonts w:hint="eastAsia" w:ascii="Arial" w:hAnsi="Arial" w:eastAsia="Times New Roman" w:cs="Arial"/>
          <w:sz w:val="20"/>
          <w:szCs w:val="22"/>
          <w:lang w:val="en-US" w:eastAsia="en-US"/>
        </w:rPr>
        <w:t xml:space="preserve"> </w:t>
      </w:r>
      <w:r>
        <w:rPr>
          <w:rFonts w:hint="eastAsia" w:ascii="Arial" w:hAnsi="Arial" w:eastAsia="宋体" w:cs="Arial"/>
          <w:sz w:val="20"/>
          <w:szCs w:val="22"/>
          <w:lang w:val="en-US" w:eastAsia="zh-CN"/>
        </w:rPr>
        <w:t xml:space="preserve">operation </w:t>
      </w:r>
      <w:r>
        <w:rPr>
          <w:rFonts w:hint="eastAsia" w:ascii="Arial" w:hAnsi="Arial" w:eastAsia="Times New Roman" w:cs="Arial"/>
          <w:sz w:val="20"/>
          <w:szCs w:val="22"/>
          <w:lang w:val="en-US" w:eastAsia="en-US"/>
        </w:rPr>
        <w:t xml:space="preserve">frequency range </w:t>
      </w:r>
      <w:r>
        <w:rPr>
          <w:rFonts w:hint="eastAsia" w:ascii="Arial" w:hAnsi="Arial" w:eastAsia="Times New Roman" w:cs="Arial"/>
          <w:sz w:val="20"/>
          <w:szCs w:val="22"/>
          <w:lang w:val="en-US" w:eastAsia="zh-CN"/>
        </w:rPr>
        <w:t xml:space="preserve">6425–7075 MHz of  band n104 for terrestrial network is overlapping with the operation frequency of </w:t>
      </w:r>
      <w:r>
        <w:rPr>
          <w:rFonts w:ascii="Arial" w:hAnsi="Arial" w:eastAsia="Times New Roman" w:cs="Arial"/>
          <w:sz w:val="20"/>
          <w:szCs w:val="22"/>
        </w:rPr>
        <w:t xml:space="preserve">FSS </w:t>
      </w:r>
      <w:r>
        <w:rPr>
          <w:rFonts w:ascii="Arial" w:hAnsi="Arial" w:eastAsia="Times New Roman" w:cs="Arial"/>
          <w:sz w:val="20"/>
          <w:szCs w:val="22"/>
          <w:lang w:eastAsia="en-US"/>
        </w:rPr>
        <w:t>(Earth-to-space) satellite</w:t>
      </w:r>
      <w:r>
        <w:rPr>
          <w:rFonts w:ascii="Arial" w:hAnsi="Arial" w:eastAsia="Times New Roman" w:cs="Arial"/>
          <w:sz w:val="20"/>
          <w:szCs w:val="22"/>
        </w:rPr>
        <w:t xml:space="preserve"> receive</w:t>
      </w:r>
      <w:r>
        <w:rPr>
          <w:rFonts w:hint="eastAsia" w:ascii="Arial" w:hAnsi="Arial" w:eastAsia="宋体" w:cs="Arial"/>
          <w:sz w:val="20"/>
          <w:szCs w:val="22"/>
          <w:lang w:val="en-US" w:eastAsia="zh-CN"/>
        </w:rPr>
        <w:t xml:space="preserve">r. In order to </w:t>
      </w:r>
      <w:r>
        <w:rPr>
          <w:rFonts w:hint="eastAsia" w:ascii="Arial" w:hAnsi="Arial" w:eastAsia="Times New Roman" w:cs="Arial"/>
          <w:sz w:val="20"/>
          <w:szCs w:val="22"/>
          <w:lang w:val="en-US" w:eastAsia="zh-CN"/>
        </w:rPr>
        <w:t xml:space="preserve">protect the FSS receiver, EEIRP mask requirement above the horizon as shown in the following figure is defined by ITU Radio Regulation Resolution 220 (WRC-23). </w:t>
      </w:r>
    </w:p>
    <w:p w14:paraId="6EB8BEEE">
      <w:pPr>
        <w:rPr>
          <w:rFonts w:hint="default" w:ascii="Arial" w:hAnsi="Arial" w:eastAsia="Times New Roman" w:cs="Arial"/>
          <w:sz w:val="20"/>
          <w:szCs w:val="22"/>
          <w:lang w:val="en-US" w:eastAsia="zh-CN"/>
        </w:rPr>
      </w:pPr>
      <w:r>
        <w:drawing>
          <wp:inline distT="0" distB="0" distL="114300" distR="114300">
            <wp:extent cx="6111875" cy="2964180"/>
            <wp:effectExtent l="0" t="0" r="317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1875" cy="296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Arial" w:hAnsi="Arial" w:eastAsia="Times New Roman" w:cs="Arial"/>
          <w:sz w:val="20"/>
          <w:szCs w:val="22"/>
          <w:lang w:val="en-US" w:eastAsia="zh-CN"/>
        </w:rPr>
        <w:t>From RAN4 core requirement perspective, the corresponding EEIRP mask requirement from WRC-23 for band n104 is captured in the TR38.908.</w:t>
      </w:r>
    </w:p>
    <w:p w14:paraId="0365BFA7">
      <w:pPr>
        <w:rPr>
          <w:rFonts w:hint="default" w:ascii="Arial" w:hAnsi="Arial" w:eastAsia="Times New Roman" w:cs="Arial"/>
          <w:sz w:val="20"/>
          <w:szCs w:val="22"/>
          <w:lang w:val="en-US" w:eastAsia="zh-CN"/>
        </w:rPr>
      </w:pPr>
      <w:r>
        <w:rPr>
          <w:rFonts w:hint="eastAsia" w:ascii="Arial" w:hAnsi="Arial" w:eastAsia="Times New Roman" w:cs="Arial"/>
          <w:sz w:val="20"/>
          <w:szCs w:val="22"/>
          <w:lang w:val="en-US" w:eastAsia="zh-CN"/>
        </w:rPr>
        <w:t>From RAN4 conformance testing perspective, the following aspects are captured in TR38.908:</w:t>
      </w:r>
    </w:p>
    <w:p w14:paraId="45C73484">
      <w:pPr>
        <w:numPr>
          <w:ilvl w:val="0"/>
          <w:numId w:val="1"/>
        </w:numPr>
        <w:rPr>
          <w:rFonts w:hint="default" w:ascii="Arial" w:hAnsi="Arial" w:eastAsia="Times New Roman" w:cs="Arial"/>
          <w:sz w:val="20"/>
          <w:szCs w:val="22"/>
          <w:lang w:val="en-US" w:eastAsia="zh-CN"/>
        </w:rPr>
      </w:pPr>
      <w:r>
        <w:rPr>
          <w:rFonts w:hint="eastAsia" w:ascii="Arial" w:hAnsi="Arial" w:eastAsia="Times New Roman" w:cs="Arial"/>
          <w:sz w:val="20"/>
          <w:szCs w:val="22"/>
          <w:lang w:val="en-US" w:eastAsia="zh-CN"/>
        </w:rPr>
        <w:t>EEIRP formulation in discrete expression which is based on contiguous integral of theoretical EEIRP formula defined by ITU-R since the measurement in the OTA chamber is discrete.</w:t>
      </w:r>
    </w:p>
    <w:p w14:paraId="0A600403">
      <w:pPr>
        <w:numPr>
          <w:ilvl w:val="0"/>
          <w:numId w:val="1"/>
        </w:numPr>
        <w:rPr>
          <w:rFonts w:hint="default" w:ascii="Arial" w:hAnsi="Arial" w:eastAsia="Times New Roman" w:cs="Arial"/>
          <w:sz w:val="20"/>
          <w:szCs w:val="22"/>
          <w:lang w:val="en-US" w:eastAsia="zh-CN"/>
        </w:rPr>
      </w:pPr>
      <w:r>
        <w:rPr>
          <w:rFonts w:hint="eastAsia" w:ascii="Arial" w:hAnsi="Arial" w:eastAsia="Times New Roman" w:cs="Arial"/>
          <w:sz w:val="20"/>
          <w:szCs w:val="22"/>
          <w:lang w:val="en-US" w:eastAsia="zh-CN"/>
        </w:rPr>
        <w:t xml:space="preserve">Conformance testing beam direction set to ensure the accurate EEIRP measurement results compared with ideal measurement results. </w:t>
      </w:r>
    </w:p>
    <w:p w14:paraId="001852E0">
      <w:pPr>
        <w:numPr>
          <w:ilvl w:val="0"/>
          <w:numId w:val="1"/>
        </w:numPr>
        <w:rPr>
          <w:rFonts w:hint="default" w:ascii="Arial" w:hAnsi="Arial" w:eastAsia="Times New Roman" w:cs="Arial"/>
          <w:sz w:val="20"/>
          <w:szCs w:val="22"/>
          <w:lang w:val="en-US" w:eastAsia="zh-CN"/>
        </w:rPr>
      </w:pPr>
      <w:r>
        <w:rPr>
          <w:rFonts w:hint="eastAsia" w:ascii="Arial" w:hAnsi="Arial" w:eastAsia="Times New Roman" w:cs="Arial"/>
          <w:sz w:val="20"/>
          <w:szCs w:val="22"/>
          <w:lang w:val="en-US" w:eastAsia="zh-CN"/>
        </w:rPr>
        <w:t xml:space="preserve">Test procedures, testing conditions in the OTA chamber for EEIRP conformance testing. </w:t>
      </w:r>
    </w:p>
    <w:p w14:paraId="19419CF3">
      <w:pPr>
        <w:numPr>
          <w:ilvl w:val="0"/>
          <w:numId w:val="1"/>
        </w:numPr>
        <w:rPr>
          <w:rFonts w:hint="default" w:ascii="Arial" w:hAnsi="Arial" w:eastAsia="Times New Roman" w:cs="Arial"/>
          <w:sz w:val="20"/>
          <w:szCs w:val="22"/>
          <w:lang w:val="en-US" w:eastAsia="zh-CN"/>
        </w:rPr>
      </w:pPr>
      <w:r>
        <w:rPr>
          <w:rFonts w:hint="eastAsia" w:ascii="Arial" w:hAnsi="Arial" w:eastAsia="Times New Roman" w:cs="Arial"/>
          <w:sz w:val="20"/>
          <w:szCs w:val="22"/>
          <w:lang w:val="en-US" w:eastAsia="zh-CN"/>
        </w:rPr>
        <w:t>Measurement uncertainty for different OTA chambers;</w:t>
      </w:r>
    </w:p>
    <w:p w14:paraId="53C156F3">
      <w:pPr>
        <w:numPr>
          <w:ilvl w:val="0"/>
          <w:numId w:val="1"/>
        </w:numPr>
        <w:rPr>
          <w:rFonts w:hint="default" w:ascii="Arial" w:hAnsi="Arial" w:eastAsia="Times New Roman" w:cs="Arial"/>
          <w:sz w:val="20"/>
          <w:szCs w:val="22"/>
          <w:lang w:val="en-US" w:eastAsia="zh-CN"/>
        </w:rPr>
      </w:pPr>
      <w:r>
        <w:rPr>
          <w:rFonts w:hint="eastAsia" w:ascii="Arial" w:hAnsi="Arial" w:eastAsia="Times New Roman" w:cs="Arial"/>
          <w:sz w:val="20"/>
          <w:szCs w:val="22"/>
          <w:lang w:val="en-US" w:eastAsia="zh-CN"/>
        </w:rPr>
        <w:t xml:space="preserve"> EEIRP calculation and sampling grid in the chamber; </w:t>
      </w:r>
    </w:p>
    <w:p w14:paraId="1077046E">
      <w:pPr>
        <w:numPr>
          <w:ilvl w:val="0"/>
          <w:numId w:val="1"/>
        </w:numPr>
        <w:rPr>
          <w:rFonts w:hint="default" w:ascii="Arial" w:hAnsi="Arial" w:eastAsia="Times New Roman" w:cs="Arial"/>
          <w:sz w:val="20"/>
          <w:szCs w:val="22"/>
          <w:lang w:val="en-US" w:eastAsia="zh-CN"/>
        </w:rPr>
      </w:pPr>
      <w:r>
        <w:rPr>
          <w:rFonts w:hint="eastAsia" w:ascii="Arial" w:hAnsi="Arial" w:eastAsia="Times New Roman" w:cs="Arial"/>
          <w:sz w:val="20"/>
          <w:szCs w:val="22"/>
          <w:lang w:val="en-US" w:eastAsia="zh-CN"/>
        </w:rPr>
        <w:t>etc.</w:t>
      </w:r>
    </w:p>
    <w:p w14:paraId="25412DAB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 w:eastAsia="宋体"/>
          <w:b/>
          <w:sz w:val="24"/>
          <w:lang w:val="en-US" w:eastAsia="zh-CN"/>
        </w:rPr>
        <w:t>TSG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:</w:t>
      </w:r>
    </w:p>
    <w:p w14:paraId="2B06D9C5">
      <w:pPr>
        <w:tabs>
          <w:tab w:val="left" w:pos="3119"/>
        </w:tabs>
        <w:rPr>
          <w:rFonts w:hint="eastAsia" w:ascii="Arial" w:hAnsi="Arial" w:eastAsia="宋体" w:cs="Arial"/>
          <w:sz w:val="21"/>
          <w:szCs w:val="22"/>
          <w:lang w:val="en-US" w:eastAsia="zh-CN"/>
        </w:rPr>
      </w:pPr>
      <w:r>
        <w:rPr>
          <w:rFonts w:ascii="Arial" w:hAnsi="Arial" w:cs="Arial"/>
          <w:sz w:val="21"/>
          <w:szCs w:val="22"/>
        </w:rPr>
        <w:t xml:space="preserve">The document is presented for the </w:t>
      </w:r>
      <w:r>
        <w:rPr>
          <w:rFonts w:hint="eastAsia" w:ascii="Arial" w:hAnsi="Arial" w:eastAsia="宋体" w:cs="Arial"/>
          <w:sz w:val="21"/>
          <w:szCs w:val="22"/>
          <w:lang w:val="en-US" w:eastAsia="zh-CN"/>
        </w:rPr>
        <w:t>second</w:t>
      </w:r>
      <w:r>
        <w:rPr>
          <w:rFonts w:ascii="Arial" w:hAnsi="Arial" w:cs="Arial"/>
          <w:sz w:val="21"/>
          <w:szCs w:val="22"/>
        </w:rPr>
        <w:t xml:space="preserve"> time to TSG RAN</w:t>
      </w:r>
      <w:r>
        <w:rPr>
          <w:rFonts w:hint="eastAsia" w:ascii="Arial" w:hAnsi="Arial" w:eastAsia="宋体" w:cs="Arial"/>
          <w:sz w:val="21"/>
          <w:szCs w:val="22"/>
          <w:lang w:val="en-US" w:eastAsia="zh-CN"/>
        </w:rPr>
        <w:t xml:space="preserve"> with following changes:</w:t>
      </w:r>
    </w:p>
    <w:p w14:paraId="76B7782B">
      <w:pPr>
        <w:numPr>
          <w:ilvl w:val="0"/>
          <w:numId w:val="2"/>
        </w:numPr>
        <w:rPr>
          <w:rFonts w:hint="default" w:ascii="Arial" w:hAnsi="Arial" w:eastAsia="Times New Roman" w:cs="Arial"/>
          <w:sz w:val="20"/>
          <w:szCs w:val="22"/>
          <w:lang w:val="en-US" w:eastAsia="zh-CN"/>
        </w:rPr>
      </w:pPr>
      <w:r>
        <w:rPr>
          <w:rFonts w:hint="eastAsia" w:ascii="Arial" w:hAnsi="Arial" w:eastAsia="Times New Roman" w:cs="Arial"/>
          <w:sz w:val="20"/>
          <w:szCs w:val="22"/>
          <w:lang w:val="en-US" w:eastAsia="zh-CN"/>
        </w:rPr>
        <w:t>Some updates for clause 4 background information;</w:t>
      </w:r>
    </w:p>
    <w:p w14:paraId="245D6B06">
      <w:pPr>
        <w:numPr>
          <w:ilvl w:val="0"/>
          <w:numId w:val="2"/>
        </w:numPr>
        <w:rPr>
          <w:rFonts w:hint="default" w:ascii="Arial" w:hAnsi="Arial" w:eastAsia="宋体" w:cs="Arial"/>
          <w:sz w:val="21"/>
          <w:szCs w:val="22"/>
          <w:lang w:val="en-US" w:eastAsia="zh-CN"/>
        </w:rPr>
      </w:pPr>
      <w:r>
        <w:rPr>
          <w:rFonts w:hint="eastAsia" w:ascii="Arial" w:hAnsi="Arial" w:eastAsia="Times New Roman" w:cs="Arial"/>
          <w:sz w:val="20"/>
          <w:szCs w:val="22"/>
          <w:lang w:val="en-US" w:eastAsia="zh-CN"/>
        </w:rPr>
        <w:t>Some clarifications on clause 5 core requirement definition;</w:t>
      </w:r>
    </w:p>
    <w:p w14:paraId="13BD4D71">
      <w:pPr>
        <w:numPr>
          <w:ilvl w:val="0"/>
          <w:numId w:val="2"/>
        </w:numPr>
        <w:rPr>
          <w:rFonts w:hint="default" w:ascii="Arial" w:hAnsi="Arial" w:eastAsia="宋体" w:cs="Arial"/>
          <w:sz w:val="21"/>
          <w:szCs w:val="22"/>
          <w:lang w:val="en-US" w:eastAsia="zh-CN"/>
        </w:rPr>
      </w:pPr>
      <w:r>
        <w:rPr>
          <w:rFonts w:hint="eastAsia" w:ascii="Arial" w:hAnsi="Arial" w:eastAsia="Times New Roman" w:cs="Arial"/>
          <w:sz w:val="20"/>
          <w:szCs w:val="22"/>
          <w:lang w:val="en-US" w:eastAsia="zh-CN"/>
        </w:rPr>
        <w:t>New clause 6 for the study of conformance testing requirement.</w:t>
      </w:r>
    </w:p>
    <w:p w14:paraId="0EE89163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E5771BC">
      <w:pPr>
        <w:tabs>
          <w:tab w:val="left" w:pos="3119"/>
        </w:tabs>
        <w:rPr>
          <w:rFonts w:hint="default" w:ascii="Arial" w:hAnsi="Arial" w:cs="Arial"/>
          <w:sz w:val="21"/>
          <w:szCs w:val="22"/>
          <w:lang w:val="en-US" w:eastAsia="zh-CN"/>
        </w:rPr>
      </w:pPr>
      <w:r>
        <w:rPr>
          <w:rFonts w:hint="eastAsia" w:ascii="Arial" w:hAnsi="Arial" w:cs="Arial"/>
          <w:sz w:val="21"/>
          <w:szCs w:val="22"/>
          <w:lang w:val="en-US" w:eastAsia="zh-CN"/>
        </w:rPr>
        <w:t>None</w:t>
      </w:r>
    </w:p>
    <w:p w14:paraId="74043AF7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F674FEC">
      <w:pPr>
        <w:tabs>
          <w:tab w:val="left" w:pos="3119"/>
        </w:tabs>
        <w:rPr>
          <w:rFonts w:hint="default" w:ascii="Arial" w:hAnsi="Arial" w:cs="Arial"/>
          <w:sz w:val="21"/>
          <w:szCs w:val="22"/>
          <w:lang w:val="en-US" w:eastAsia="zh-CN"/>
        </w:rPr>
      </w:pPr>
      <w:r>
        <w:rPr>
          <w:rFonts w:hint="eastAsia" w:ascii="Arial" w:hAnsi="Arial" w:cs="Arial"/>
          <w:sz w:val="21"/>
          <w:szCs w:val="22"/>
          <w:lang w:val="en-US" w:eastAsia="zh-CN"/>
        </w:rPr>
        <w:t>None</w:t>
      </w:r>
    </w:p>
    <w:p w14:paraId="21E32620">
      <w:pPr>
        <w:tabs>
          <w:tab w:val="left" w:pos="3119"/>
        </w:tabs>
        <w:rPr>
          <w:b/>
          <w:sz w:val="24"/>
        </w:rPr>
      </w:pPr>
    </w:p>
    <w:p w14:paraId="0F330D0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3D36E6E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132673E4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150F5C1A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2E6D847A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p w14:paraId="3AA80731">
      <w:pPr>
        <w:tabs>
          <w:tab w:val="left" w:pos="3119"/>
        </w:tabs>
        <w:spacing w:after="0"/>
        <w:rPr>
          <w:sz w:val="16"/>
          <w:szCs w:val="16"/>
        </w:rPr>
      </w:pP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D41DC7"/>
    <w:multiLevelType w:val="singleLevel"/>
    <w:tmpl w:val="C3D41DC7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12D757B1"/>
    <w:multiLevelType w:val="singleLevel"/>
    <w:tmpl w:val="12D757B1"/>
    <w:lvl w:ilvl="0" w:tentative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F7ECB"/>
    <w:rsid w:val="00201520"/>
    <w:rsid w:val="00222D66"/>
    <w:rsid w:val="002B09A1"/>
    <w:rsid w:val="0045428D"/>
    <w:rsid w:val="005B4293"/>
    <w:rsid w:val="00CC358C"/>
    <w:rsid w:val="00DC278D"/>
    <w:rsid w:val="011E3CE2"/>
    <w:rsid w:val="014C132E"/>
    <w:rsid w:val="018B2121"/>
    <w:rsid w:val="019276A6"/>
    <w:rsid w:val="02443AC4"/>
    <w:rsid w:val="028A203B"/>
    <w:rsid w:val="0450023A"/>
    <w:rsid w:val="04AE1654"/>
    <w:rsid w:val="04E90364"/>
    <w:rsid w:val="05850883"/>
    <w:rsid w:val="059E79A5"/>
    <w:rsid w:val="06436553"/>
    <w:rsid w:val="06657D8C"/>
    <w:rsid w:val="06A22955"/>
    <w:rsid w:val="089555FD"/>
    <w:rsid w:val="09385CEE"/>
    <w:rsid w:val="0A2C0C06"/>
    <w:rsid w:val="0BAC05B3"/>
    <w:rsid w:val="0D7B0E03"/>
    <w:rsid w:val="0E4D7882"/>
    <w:rsid w:val="0F1E2159"/>
    <w:rsid w:val="0F234C69"/>
    <w:rsid w:val="0F2A5EAE"/>
    <w:rsid w:val="0FC24BDA"/>
    <w:rsid w:val="0FCF68E2"/>
    <w:rsid w:val="102A464C"/>
    <w:rsid w:val="10624D6F"/>
    <w:rsid w:val="11196DCE"/>
    <w:rsid w:val="11627900"/>
    <w:rsid w:val="1261434B"/>
    <w:rsid w:val="126A3B1F"/>
    <w:rsid w:val="12714ACF"/>
    <w:rsid w:val="130B225F"/>
    <w:rsid w:val="13221B39"/>
    <w:rsid w:val="13535C02"/>
    <w:rsid w:val="145A1AF2"/>
    <w:rsid w:val="15333622"/>
    <w:rsid w:val="155531FD"/>
    <w:rsid w:val="164B0161"/>
    <w:rsid w:val="16655F8E"/>
    <w:rsid w:val="16721235"/>
    <w:rsid w:val="1711679D"/>
    <w:rsid w:val="17334527"/>
    <w:rsid w:val="17967879"/>
    <w:rsid w:val="18422BF4"/>
    <w:rsid w:val="18475F42"/>
    <w:rsid w:val="18F70495"/>
    <w:rsid w:val="19DF3A01"/>
    <w:rsid w:val="19EC2827"/>
    <w:rsid w:val="1A314413"/>
    <w:rsid w:val="1B1C4540"/>
    <w:rsid w:val="1B4A1E8B"/>
    <w:rsid w:val="1BCB71FF"/>
    <w:rsid w:val="1C1B3CDE"/>
    <w:rsid w:val="1D823B78"/>
    <w:rsid w:val="1E193E07"/>
    <w:rsid w:val="1E2D620F"/>
    <w:rsid w:val="1EC64A9D"/>
    <w:rsid w:val="1ED631A5"/>
    <w:rsid w:val="1F336601"/>
    <w:rsid w:val="213F0E29"/>
    <w:rsid w:val="22237002"/>
    <w:rsid w:val="22724D0B"/>
    <w:rsid w:val="22916443"/>
    <w:rsid w:val="23270D74"/>
    <w:rsid w:val="238734D8"/>
    <w:rsid w:val="23F6158E"/>
    <w:rsid w:val="248C1D15"/>
    <w:rsid w:val="24A3267C"/>
    <w:rsid w:val="24A75360"/>
    <w:rsid w:val="24EA6EC3"/>
    <w:rsid w:val="258A3522"/>
    <w:rsid w:val="25BD776E"/>
    <w:rsid w:val="26727723"/>
    <w:rsid w:val="26CE4858"/>
    <w:rsid w:val="26D046A2"/>
    <w:rsid w:val="26DC5ACE"/>
    <w:rsid w:val="270F3FF9"/>
    <w:rsid w:val="27A83832"/>
    <w:rsid w:val="280255D6"/>
    <w:rsid w:val="2938592D"/>
    <w:rsid w:val="295F594B"/>
    <w:rsid w:val="29612E14"/>
    <w:rsid w:val="29D81A29"/>
    <w:rsid w:val="2AB078A1"/>
    <w:rsid w:val="2B043E08"/>
    <w:rsid w:val="2B172B28"/>
    <w:rsid w:val="2B210D9B"/>
    <w:rsid w:val="2B885D8C"/>
    <w:rsid w:val="2C0C6D59"/>
    <w:rsid w:val="2D6F0515"/>
    <w:rsid w:val="2DE2142E"/>
    <w:rsid w:val="2EBD7686"/>
    <w:rsid w:val="2ECC3CD5"/>
    <w:rsid w:val="2F541028"/>
    <w:rsid w:val="2FA11E2C"/>
    <w:rsid w:val="300E12F2"/>
    <w:rsid w:val="301D32E3"/>
    <w:rsid w:val="30BA3228"/>
    <w:rsid w:val="31453005"/>
    <w:rsid w:val="31464ABB"/>
    <w:rsid w:val="31D10ACA"/>
    <w:rsid w:val="3241175D"/>
    <w:rsid w:val="32697D44"/>
    <w:rsid w:val="337F4E67"/>
    <w:rsid w:val="34732836"/>
    <w:rsid w:val="349305DD"/>
    <w:rsid w:val="361E6007"/>
    <w:rsid w:val="36B02BC6"/>
    <w:rsid w:val="38242728"/>
    <w:rsid w:val="38517242"/>
    <w:rsid w:val="38563836"/>
    <w:rsid w:val="38B82CE6"/>
    <w:rsid w:val="39205BF2"/>
    <w:rsid w:val="39267877"/>
    <w:rsid w:val="39477622"/>
    <w:rsid w:val="3A500759"/>
    <w:rsid w:val="3AE22FE1"/>
    <w:rsid w:val="3B4669EF"/>
    <w:rsid w:val="3B4E0C5B"/>
    <w:rsid w:val="3B8A37F6"/>
    <w:rsid w:val="3C14299D"/>
    <w:rsid w:val="3CC60F98"/>
    <w:rsid w:val="3CE600D4"/>
    <w:rsid w:val="3DF17618"/>
    <w:rsid w:val="3DFA2BBE"/>
    <w:rsid w:val="3EDC0C1E"/>
    <w:rsid w:val="3F93536F"/>
    <w:rsid w:val="40122037"/>
    <w:rsid w:val="40484BE5"/>
    <w:rsid w:val="4072249C"/>
    <w:rsid w:val="40890521"/>
    <w:rsid w:val="40C66554"/>
    <w:rsid w:val="40EA548F"/>
    <w:rsid w:val="41C21F3C"/>
    <w:rsid w:val="42AB29D0"/>
    <w:rsid w:val="43803196"/>
    <w:rsid w:val="44130AA0"/>
    <w:rsid w:val="44317F0D"/>
    <w:rsid w:val="4453331F"/>
    <w:rsid w:val="44B2560E"/>
    <w:rsid w:val="44BA4038"/>
    <w:rsid w:val="44D2693A"/>
    <w:rsid w:val="450A60D4"/>
    <w:rsid w:val="47841B24"/>
    <w:rsid w:val="483D231C"/>
    <w:rsid w:val="48C22822"/>
    <w:rsid w:val="48E674A9"/>
    <w:rsid w:val="493F0316"/>
    <w:rsid w:val="4968161B"/>
    <w:rsid w:val="49F845AB"/>
    <w:rsid w:val="4B6F7621"/>
    <w:rsid w:val="4BEA3505"/>
    <w:rsid w:val="4BFD7A3B"/>
    <w:rsid w:val="4CE74F4D"/>
    <w:rsid w:val="4D160508"/>
    <w:rsid w:val="4D2607A2"/>
    <w:rsid w:val="4DAE1D1D"/>
    <w:rsid w:val="4DD31850"/>
    <w:rsid w:val="4DEE0ABD"/>
    <w:rsid w:val="4E6E2B04"/>
    <w:rsid w:val="4ED520C7"/>
    <w:rsid w:val="4F053468"/>
    <w:rsid w:val="4F6C1739"/>
    <w:rsid w:val="534A7FE3"/>
    <w:rsid w:val="539327CB"/>
    <w:rsid w:val="54252519"/>
    <w:rsid w:val="554C2376"/>
    <w:rsid w:val="563E38A3"/>
    <w:rsid w:val="58515071"/>
    <w:rsid w:val="587E26EE"/>
    <w:rsid w:val="59A31EB1"/>
    <w:rsid w:val="59AE4AAE"/>
    <w:rsid w:val="5A3E2A97"/>
    <w:rsid w:val="5AC461C6"/>
    <w:rsid w:val="5AE83A12"/>
    <w:rsid w:val="5B5E47F5"/>
    <w:rsid w:val="5B7839DE"/>
    <w:rsid w:val="5C553C81"/>
    <w:rsid w:val="5D1C479E"/>
    <w:rsid w:val="5D2C2F28"/>
    <w:rsid w:val="5DBD1BFF"/>
    <w:rsid w:val="5E246282"/>
    <w:rsid w:val="5F816E9A"/>
    <w:rsid w:val="60B53A52"/>
    <w:rsid w:val="62BC21C0"/>
    <w:rsid w:val="62FC6154"/>
    <w:rsid w:val="632566C0"/>
    <w:rsid w:val="637D5ACA"/>
    <w:rsid w:val="64933ABF"/>
    <w:rsid w:val="655578CE"/>
    <w:rsid w:val="664F1390"/>
    <w:rsid w:val="66642117"/>
    <w:rsid w:val="66D860C5"/>
    <w:rsid w:val="67C63E4F"/>
    <w:rsid w:val="687E0225"/>
    <w:rsid w:val="69450BD9"/>
    <w:rsid w:val="69D443E3"/>
    <w:rsid w:val="6A646982"/>
    <w:rsid w:val="6BA51E03"/>
    <w:rsid w:val="6C266913"/>
    <w:rsid w:val="6CB71DEE"/>
    <w:rsid w:val="6D5B2AA9"/>
    <w:rsid w:val="6E326952"/>
    <w:rsid w:val="6EB904CC"/>
    <w:rsid w:val="6EF410D7"/>
    <w:rsid w:val="6F06705D"/>
    <w:rsid w:val="6F0C44D3"/>
    <w:rsid w:val="6F6D36CF"/>
    <w:rsid w:val="70C1323B"/>
    <w:rsid w:val="718D41DB"/>
    <w:rsid w:val="71B20DD6"/>
    <w:rsid w:val="738206CE"/>
    <w:rsid w:val="73B726D3"/>
    <w:rsid w:val="73D85635"/>
    <w:rsid w:val="73E01C2A"/>
    <w:rsid w:val="74245119"/>
    <w:rsid w:val="74296F20"/>
    <w:rsid w:val="752F7C03"/>
    <w:rsid w:val="76787B6C"/>
    <w:rsid w:val="776F1C16"/>
    <w:rsid w:val="77F66609"/>
    <w:rsid w:val="782B19EF"/>
    <w:rsid w:val="78C0692E"/>
    <w:rsid w:val="78DC30E6"/>
    <w:rsid w:val="79E21BCD"/>
    <w:rsid w:val="7A044199"/>
    <w:rsid w:val="7A4060BC"/>
    <w:rsid w:val="7AB61937"/>
    <w:rsid w:val="7B47744F"/>
    <w:rsid w:val="7B9D0BEA"/>
    <w:rsid w:val="7C1C37DF"/>
    <w:rsid w:val="7C5F2BF3"/>
    <w:rsid w:val="7D8B5E5A"/>
    <w:rsid w:val="7E1E38D7"/>
    <w:rsid w:val="7E3A2CA5"/>
    <w:rsid w:val="7E51690F"/>
    <w:rsid w:val="7E81304E"/>
    <w:rsid w:val="7EC9380E"/>
    <w:rsid w:val="7F357506"/>
    <w:rsid w:val="7F735EF9"/>
    <w:rsid w:val="7F874EC5"/>
    <w:rsid w:val="7FD6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qFormat/>
    <w:uiPriority w:val="0"/>
  </w:style>
  <w:style w:type="table" w:default="1" w:styleId="4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2</Pages>
  <Words>315</Words>
  <Characters>1861</Characters>
  <Lines>6</Lines>
  <Paragraphs>1</Paragraphs>
  <TotalTime>9</TotalTime>
  <ScaleCrop>false</ScaleCrop>
  <LinksUpToDate>false</LinksUpToDate>
  <CharactersWithSpaces>2149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2023-03-21T08:40:00Z</dcterms:created>
  <dc:creator>Maurice Pope</dc:creator>
  <dc:description>Template for presentation of Specifications to TSGs and WGs </dc:description>
  <cp:lastModifiedBy>ZTE, Fei Xue</cp:lastModifiedBy>
  <dcterms:modified xsi:type="dcterms:W3CDTF">2025-03-03T08:55:55Z</dcterms:modified>
  <dc:title>Presentation to TSG / WG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B9BE5D31846243549E1D658304E25B96_13</vt:lpwstr>
  </property>
  <property fmtid="{D5CDD505-2E9C-101B-9397-08002B2CF9AE}" pid="4" name="KSOTemplateDocerSaveRecord">
    <vt:lpwstr>eyJoZGlkIjoiNTA2MDIzMjk0NzI5MmEzNWQ4YmNjZGZiMjgzNzc2MDMiLCJ1c2VySWQiOiIxMDQyMjkzMzc0In0=</vt:lpwstr>
  </property>
</Properties>
</file>